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</w:t>
      </w: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8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</w:t>
      </w: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29</w:t>
      </w: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» апреля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58"/>
        <w:gridCol w:w="7003"/>
      </w:tblGrid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ListParagraph"/>
              <w:tabs>
                <w:tab w:val="left" w:pos="851" w:leader="none"/>
              </w:tabs>
              <w:snapToGrid w:val="false"/>
              <w:spacing w:lineRule="auto" w:line="240" w:before="0" w:after="0"/>
              <w:ind w:left="720" w:right="0" w:hanging="0"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Носкова Людмила Ивановна 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Заместитель главы Советского района по строительству и жилищно-коммунальному комплексу</w:t>
            </w:r>
          </w:p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Н</w:t>
            </w: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ачальник</w:t>
            </w:r>
            <w:bookmarkStart w:id="2" w:name="__DdeLink__1790_946276097"/>
            <w:bookmarkEnd w:id="2"/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Пономарев Алексей Михайлович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З</w:t>
            </w: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аместител</w:t>
            </w: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ь</w:t>
            </w: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 xml:space="preserve">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по охране общественного порядка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Яненко Наталья Юрьевна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Заведующий терапевтическим отделением взрослой поликлиники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АУ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</w:t>
            </w:r>
            <w:r>
              <w:rPr>
                <w:sz w:val="26"/>
                <w:szCs w:val="26"/>
                <w:lang w:val="ru-RU"/>
              </w:rPr>
              <w:t>лав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 xml:space="preserve">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</w:t>
            </w:r>
            <w:r>
              <w:rPr>
                <w:sz w:val="26"/>
                <w:szCs w:val="26"/>
                <w:lang w:val="ru-RU"/>
              </w:rPr>
              <w:t>лав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 xml:space="preserve">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Богданова Ирина Алексеевна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33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sz w:val="28"/>
                <w:szCs w:val="28"/>
                <w:u w:val="none"/>
                <w:lang w:eastAsia="ru-RU"/>
              </w:rPr>
              <w:t>З</w:t>
            </w:r>
            <w:r>
              <w:rPr>
                <w:rStyle w:val="21"/>
                <w:rFonts w:eastAsia="Calibri" w:cs="Times New Roman" w:ascii="Times New Roman" w:hAnsi="Times New Roman"/>
                <w:sz w:val="28"/>
                <w:szCs w:val="28"/>
                <w:u w:val="none"/>
                <w:lang w:eastAsia="ru-RU"/>
              </w:rPr>
              <w:t>аместитель начальника управления образования администрации Советского района</w:t>
            </w:r>
            <w:r>
              <w:rPr>
                <w:rStyle w:val="21"/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eastAsia="ru-RU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по дополнительному образованию, воспитанию и комплексной безопасности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Берднидцкая Майя Евгеньевна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по организации деятельности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Назаров Владимир Владимирович 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экономического развития и инвестиций администрации </w:t>
            </w:r>
          </w:p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Советского района 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 xml:space="preserve">Киселев Михаил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Борисович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Югорск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ий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 межрайонн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ый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 прокурор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/>
                <w:lang w:val="ru-RU" w:eastAsia="en-US" w:bidi="en-US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Озорнина Светлана Эрнстовна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Думы Советского района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fill="FFFFFF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Рябкова Ольга Павловна</w:t>
            </w:r>
          </w:p>
        </w:tc>
        <w:tc>
          <w:tcPr>
            <w:tcW w:w="7003" w:type="dxa"/>
            <w:tcBorders/>
            <w:shd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социальной защиты населения по г. Югорску и Советскому району 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cs="Times New Roman"/>
          <w:b w:val="false"/>
          <w:b w:val="false"/>
          <w:bCs w:val="false"/>
          <w:i/>
          <w:i/>
          <w:iCs/>
          <w:color w:val="000000"/>
        </w:rPr>
      </w:pPr>
      <w:r>
        <w:rPr>
          <w:rFonts w:cs="Times New Roman"/>
          <w:b w:val="false"/>
          <w:bCs w:val="false"/>
          <w:i/>
          <w:iCs/>
          <w:color w:val="000000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Об оказании содействия в организации вакцинации маломобильных граждан, граждан с хроническими заболеваниями, выразившими желание сделать прививку и нуждающихся в сопровождении до прививочного пункта или выезде мобильной бригады к месту их проживания.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Рябкова Ольга Павловна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управления социальной защиты населения по городу Югорску и Советскому району.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О ходе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eastAsia="en-US" w:bidi="en-US"/>
        </w:rPr>
        <w:t xml:space="preserve">вакцинации от коронавирусной инфекции сотрудников, подведомственных учреждений (в том числе задействованных в организации летнего отдыха и досуга детей).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  <w:lang w:eastAsia="ru-RU"/>
        </w:rPr>
        <w:t>Богданова Ирина Алексеевна,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 заместитель начальника управления образования администрации Советского района</w:t>
      </w:r>
      <w:r>
        <w:rPr>
          <w:rStyle w:val="21"/>
          <w:rFonts w:eastAsia="Calibri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по дополнительному образованию, воспитанию и комплексной безопасности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  <w:lang w:eastAsia="ru-RU"/>
        </w:rPr>
        <w:t>Малышева Оксана Павловна,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 директор департамента социального развития администрации Советского района.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>4. О проведении мероприятий, посвященных празднованию 76 годовщине Победы в ВОВ.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  <w:lang w:eastAsia="ru-RU"/>
        </w:rPr>
        <w:t>Носкова Людмила Ивановна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  <w:lang w:eastAsia="ru-RU"/>
        </w:rPr>
        <w:t xml:space="preserve">, заместитель главы Советского района по социальному развитию. 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начальника территориального отдела Управления Роспотребнадзора по ХМАО-Югре в городе Югорске и Советском районе </w:t>
      </w:r>
      <w:r>
        <w:rPr>
          <w:rFonts w:cs="Times New Roman" w:ascii="Times New Roman" w:hAnsi="Times New Roman"/>
          <w:sz w:val="26"/>
          <w:szCs w:val="26"/>
        </w:rPr>
        <w:t>Злобина В.В.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</w:rPr>
        <w:t>начальник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</w:rPr>
        <w:t>а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</w:rPr>
        <w:t xml:space="preserve"> управления социальной защиты населения по городу Югорску и Советскому району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Рябковой О.П., 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eastAsia="ru-RU"/>
        </w:rPr>
        <w:t>заместителя начальника управления образования администрации Советского района</w:t>
      </w:r>
      <w:r>
        <w:rPr>
          <w:rStyle w:val="21"/>
          <w:rFonts w:eastAsia="Calibri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eastAsia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по дополнительному образованию, воспитанию и комплексной безопасности Богдановой И.А.,  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6"/>
          <w:szCs w:val="26"/>
          <w:u w:val="none"/>
          <w:em w:val="none"/>
          <w:lang w:eastAsia="ru-RU"/>
        </w:rPr>
        <w:t>директор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6"/>
          <w:szCs w:val="26"/>
          <w:u w:val="none"/>
          <w:em w:val="none"/>
          <w:lang w:eastAsia="ru-RU"/>
        </w:rPr>
        <w:t>а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6"/>
          <w:szCs w:val="26"/>
          <w:u w:val="none"/>
          <w:em w:val="none"/>
          <w:lang w:eastAsia="ru-RU"/>
        </w:rPr>
        <w:t xml:space="preserve"> департамента социального развития администрации Советского района </w:t>
      </w:r>
      <w:r>
        <w:rPr>
          <w:rStyle w:val="21"/>
          <w:rFonts w:eastAsia="Calibri" w:cs="Times New Roman" w:ascii="Times New Roman" w:hAnsi="Times New Roman"/>
          <w:outline w:val="false"/>
          <w:shadow w:val="false"/>
          <w:sz w:val="26"/>
          <w:szCs w:val="26"/>
          <w:u w:val="none"/>
          <w:em w:val="none"/>
          <w:lang w:eastAsia="ru-RU"/>
        </w:rPr>
        <w:t xml:space="preserve">Малышевой О.П., заместителя главы Советского района по социальному развитию Носковой Л.И.,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принять к сведению.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На 16-й неделе года (19-25.04.2021 г.) в Советском районе зарегистрировано 3 новых случая коронавирусной инфекции (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COVID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Наблюдается снижение заболеваемости относительно предыдущей недели на 70 %. Показатель заболеваемости 3759,9 на 100 тыс. населения, что выше средне-окружного в 1,13 раза (ХМАО – 3322,7 на 100 тыс.).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Семейная очаговость за неделю составила 100 % (индекс очаговости – 2,0), что выше показателя предыдущей недели в 4,5 раза, выше средне-окружных значений в 1,5 раза (индекс очаговости ХМАО – 1,3). 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Социальная структура заболевших жителей района не изменилась. На рабочее население приходится 31,8 % пациентов, пенсионеров - 29,9 %, медицинских работников - 10,4 % служащих - 9,3 %, воспитанников и учащихся - 9,2 %.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По возрастной структуре большую долю по-прежнему составляют лица в возрасте 30-49 лет - 35,7 %, на лиц 50-64 года приходится 28,6 % заболевших, старше 65 лет - 19,4 %, дети 0-17 лет – 8,9 %, 18-29 лет - 7,4 %. 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По месту инфицирования наибольший процент приходится на заражения общественных местах, торговых центрах, магазинах – 44,4 %, заражения в семьях и близком окружении составляют 39,6 %, в организациях, на рабочих местах – 13,2 %, в медицинской организации - 1,3 %, завозные случаи – 1,2 %.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Пациенты с симптомами ОРВИ составляют большую часть заболевших 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COVID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-19 (86,7 %, с пневмонией – 10,4 %), без клинических проявлений – 2,9 %.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Новые случаи пневмоний и тяжелые формы течения болезни за неделю не зарегистрированы.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Всего в Советском районе зарегистрировано 1887 подтверждённых случаев 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COVID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-19, из них 1861 человек выздоровели и выписаны, 8 чел. находятся на лечении, 18 летальных случаев.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 изоляции находятся 2 контактных с заболевшими 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COVID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-19, сняты с изоляции 6225 контактных лица.  </w:t>
      </w:r>
    </w:p>
    <w:p>
      <w:pPr>
        <w:pStyle w:val="Cef1edeee2edeee9f2e5eaf1f2"/>
        <w:widowControl/>
        <w:spacing w:lineRule="auto" w:line="240" w:before="0" w:after="0"/>
        <w:ind w:left="0" w:right="0" w:firstLine="709"/>
        <w:jc w:val="both"/>
        <w:rPr/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Территориальный отдел информирует, что </w:t>
      </w:r>
      <w:hyperlink r:id="rId2">
        <w:r>
          <w:rPr>
            <w:rStyle w:val="Style14"/>
            <w:rFonts w:cs="Verdana" w:ascii="Times New Roman" w:hAnsi="Times New Roman"/>
            <w:b w:val="false"/>
            <w:bCs w:val="false"/>
            <w:color w:val="000000"/>
            <w:sz w:val="26"/>
            <w:szCs w:val="26"/>
            <w:u w:val="none"/>
            <w:lang w:val="zxx" w:eastAsia="zxx"/>
          </w:rPr>
          <w:t>внесены изменения в постановление Главного государственного санитарного врача Российской Федерации № 7 «Об обеспечении режима изоляции в целях предотвращения распространения COVID-2019»</w:t>
        </w:r>
      </w:hyperlink>
      <w:hyperlink r:id="rId3">
        <w:r>
          <w:rPr>
            <w:rStyle w:val="Style14"/>
            <w:rFonts w:cs="Verdana" w:ascii="Times New Roman" w:hAnsi="Times New Roman"/>
            <w:b w:val="false"/>
            <w:bCs w:val="false"/>
            <w:color w:val="000000"/>
            <w:sz w:val="26"/>
            <w:szCs w:val="26"/>
            <w:u w:val="none"/>
            <w:lang w:eastAsia="zxx"/>
          </w:rPr>
          <w:t xml:space="preserve"> от 18.03.2020 г</w:t>
        </w:r>
      </w:hyperlink>
      <w:hyperlink r:id="rId4">
        <w:r>
          <w:rPr>
            <w:rStyle w:val="Style14"/>
            <w:rFonts w:cs="Verdana" w:ascii="Times New Roman" w:hAnsi="Times New Roman"/>
            <w:b w:val="false"/>
            <w:bCs w:val="false"/>
            <w:color w:val="000000"/>
            <w:sz w:val="26"/>
            <w:szCs w:val="26"/>
            <w:u w:val="none"/>
            <w:lang w:val="zxx" w:eastAsia="zxx"/>
          </w:rPr>
          <w:t>.</w:t>
        </w:r>
      </w:hyperlink>
    </w:p>
    <w:p>
      <w:pPr>
        <w:pStyle w:val="Cef1edeee2edeee9f2e5eaf1f2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Согласно изменениям граждане Российской Федерации, прибывающие до 1 мая 2021 года из Турецкой Республики и Объединенной Республики Танзания на территорию Российской Федерации, должны пройти повторное лабораторное обследование на COVID-19 методом ПЦР в срок до 5 дней с момента въезда на территорию Российской Федерации с повторным предоставлением сведений о результатах лабораторного исследования на COVID-19 методом ПЦР в ЕПГ. </w:t>
      </w:r>
    </w:p>
    <w:p>
      <w:pPr>
        <w:pStyle w:val="Cef1edeee2edeee9f2e5eaf1f2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После 1 мая 2021 г. гражданам Российской Федерации, прибывающим из зарубежных стран на территорию РФ, необходимо пройти лабораторное исследование на COVID-19 методом ПЦР дважды: </w:t>
      </w:r>
    </w:p>
    <w:p>
      <w:pPr>
        <w:pStyle w:val="Cef1edeee2edeee9f2e5eaf1f2"/>
        <w:widowControl/>
        <w:numPr>
          <w:ilvl w:val="0"/>
          <w:numId w:val="1"/>
        </w:numPr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- в течение трех календарных дней со дня прибытия на территорию РФ;</w:t>
      </w:r>
    </w:p>
    <w:p>
      <w:pPr>
        <w:pStyle w:val="Cef1edeee2edeee9f2e5eaf1f2"/>
        <w:widowControl/>
        <w:numPr>
          <w:ilvl w:val="0"/>
          <w:numId w:val="1"/>
        </w:numPr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- в срок до 5 дней с момента въезда на территорию РФ с предоставлением сведений о результатах лабораторного исследования на COVID-19 методом ПЦР в ЕПГУ. </w:t>
      </w:r>
    </w:p>
    <w:p>
      <w:pPr>
        <w:pStyle w:val="Cef1edeee2edeee9f2e5eaf1f2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Интервал между первым и повторным лабораторным исследованием на COVID-19 методом ПЦР должен составлять не менее суток.</w:t>
      </w:r>
    </w:p>
    <w:p>
      <w:pPr>
        <w:pStyle w:val="Cef1edeee2edeee9f2e5eaf1f2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Также, согласно внесенным изменениям, сотрудники территориальных органов Роспотребнадзора уполномочены проводить в аэропортах выборочное тестирование на COVID-19 иностранных граждан.</w:t>
      </w:r>
    </w:p>
    <w:p>
      <w:pPr>
        <w:pStyle w:val="Cef1edeee2edeee9f2e5eaf1f2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Отсутствие обследования на COVID-19 методом ПЦР, а так же несвоевременное прохождение данных обследований, при пересечении границы Российской Федерации предусмотрена административная ответственность по ч. 2 ст. 6.3 КоАП РФ. Штраф на граждан составляет от 15000 до 40000 рублей.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Продолжается вакцинация населения против 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</w:rPr>
        <w:t>COVID</w:t>
      </w:r>
      <w:r>
        <w:rPr>
          <w:rFonts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-19. Федеральная вакцина поступает в медицинские организации по разнарядке, в еженедельном режиме.</w:t>
      </w:r>
    </w:p>
    <w:p>
      <w:pPr>
        <w:pStyle w:val="Normal"/>
        <w:spacing w:lineRule="auto" w:line="240" w:before="0" w:after="0"/>
        <w:ind w:left="0" w:right="0" w:firstLine="709"/>
        <w:rPr>
          <w:rFonts w:ascii="Verdana" w:hAnsi="Verdana" w:cs="Verdana"/>
          <w:sz w:val="20"/>
          <w:szCs w:val="20"/>
          <w:lang w:val="ru-RU"/>
        </w:rPr>
      </w:pPr>
      <w:r>
        <w:rPr>
          <w:rStyle w:val="21"/>
          <w:rFonts w:eastAsia="Calibri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В апреле 2021 г. в АУ «Советская районная больница», БУ «Пионерская районная больница» поступила вакцина «ЭпиВакКорона», введён первый компонент вакцины (ПРБ – 150 чел., СРБ – 300 чел.).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По состоянию на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29.04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.2021 по Советскому району возбуждено 6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8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административных дел по факту нарушения законодательства в области обеспечения санитарно-эпидемиологического благополучия населения. Решениями Советского районного суда временно приостановлена деятельность 11 объектов. Назначено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49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административных штрафов на сумму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268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1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00 рублей, вынесено 6 предупреждений,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1 приостановлено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В производстве находится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1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материал об административных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правонарушениях.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настоящее время, согласно приказу Депсоцразвития Югры от 21.04.2021 № 428-р «Об организации работы по содействию в вакцинации» утвержден план мероприятий по организации содействия в вакцинации, среди граждан, старше 60 лет; маломобильных граждан; граждан, имеющих хронические заболевания.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На сегодняшний день: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разъяснениями, при участии специалистов, психологов учреждений на территории г.Советский и Советский район охвачено 794 граждан.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разъяснениями с привлечением работников медицинских организаций, авторитетных лидеров общественных организаций (привитых ранее от COVID-19) охвачено 218 граждан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разъяснениями с использованием личного примера вакцинации «серебряных волонтеров» охвачено 92 граждан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в ходе проведения телефонных консультирований посредством телефонной связи охвачено 709 граждан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доведением информации до родственников получателей социальных услуг охвачено 246 граждан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проведено лекций и трансляций видеороликов в Учреждении 7 лекции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- распространено памяток, буклетов, иной печатной продукции о преимуществах вакцинации от COVID-19 2331 шт.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Таким образом: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Про состоянию на 27.04.2021, при содействии органов социальной защиты, вакцинацию прошли: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по г.Советский и Советскому району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Граждане 60+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I компонентом вакцины – 997 человек, Маломобильные граждане – 67 человек, Граждане с хроническими заболеваниями – 762 человека.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По получателям социальных услуг: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Стационарное обслуживание </w:t>
      </w:r>
    </w:p>
    <w:tbl>
      <w:tblPr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802"/>
        <w:gridCol w:w="1712"/>
        <w:gridCol w:w="2837"/>
      </w:tblGrid>
      <w:tr>
        <w:trPr>
          <w:trHeight w:val="842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БУ "Советский дом-интернат для престарелых и инвалидов"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89 получателей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81чел. (91%), 7 чел.- м/о,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про вакцинируют</w:t>
            </w:r>
          </w:p>
        </w:tc>
      </w:tr>
      <w:tr>
        <w:trPr>
          <w:trHeight w:val="842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БУ "Советский комплексный центр социального обслуживания населения" Спец.дом г.п.Зеленоборск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получателей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 чел. (73%)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 чел. – м/о</w:t>
            </w:r>
          </w:p>
        </w:tc>
      </w:tr>
      <w:tr>
        <w:trPr>
          <w:trHeight w:val="510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ИП Меняйленко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 получателей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 чел., все 7 чел отказались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Учреждения оказывающие услуги на дому</w:t>
      </w:r>
    </w:p>
    <w:tbl>
      <w:tblPr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802"/>
        <w:gridCol w:w="1712"/>
        <w:gridCol w:w="2837"/>
      </w:tblGrid>
      <w:tr>
        <w:trPr>
          <w:trHeight w:val="800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БУ "Советский комплексный центр социального обслуживания населения"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348 получателей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77 чел. (22%)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м/о – 93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отказ 109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69 ждут вакцину</w:t>
            </w:r>
          </w:p>
        </w:tc>
      </w:tr>
      <w:tr>
        <w:trPr>
          <w:trHeight w:val="699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АНО Центр социального обслуживания Радуга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 получателей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Ждут вакцину, ведется работа с получателями</w:t>
            </w:r>
          </w:p>
        </w:tc>
      </w:tr>
      <w:tr>
        <w:trPr>
          <w:trHeight w:val="694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ИП Уклеин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8 получателей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 (87,5% (про вакцинируют - 1 чел.)</w:t>
            </w:r>
          </w:p>
        </w:tc>
      </w:tr>
      <w:tr>
        <w:trPr>
          <w:trHeight w:val="407" w:hRule="atLeast"/>
        </w:trPr>
        <w:tc>
          <w:tcPr>
            <w:tcW w:w="4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ИП Байкарова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получателей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Ждут вакцину, ведется работа с получателями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 состоянию на 27.04.2021 в Учреждениях сложилась следующая ситуация по вакцинации сотрудников:</w:t>
      </w:r>
    </w:p>
    <w:tbl>
      <w:tblPr>
        <w:tblW w:w="9639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709"/>
        <w:gridCol w:w="4678"/>
        <w:gridCol w:w="1417"/>
        <w:gridCol w:w="1446"/>
        <w:gridCol w:w="1389"/>
      </w:tblGrid>
      <w:tr>
        <w:trPr>
          <w:trHeight w:val="253" w:hRule="atLeast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/>
                <w:b w:val="false"/>
                <w:b w:val="false"/>
                <w:b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Наименование учреждения</w:t>
            </w:r>
          </w:p>
        </w:tc>
      </w:tr>
      <w:tr>
        <w:trPr>
          <w:trHeight w:val="940" w:hRule="atLeas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93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 "Советский комплексный центр социального обслуживания населения"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 (120 по штатному)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(100%)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 (60%)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 «Советский дом-интернат для престарелых и инвалидов»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  <w:t>58 (по штатному 118)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bookmarkStart w:id="3" w:name="_GoBack"/>
            <w:bookmarkStart w:id="4" w:name="_GoBack"/>
            <w:bookmarkEnd w:id="4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Всего 1893 сотрудников в муниципальных образовательных организациях Советского района (897 - в дошкольных образовательных организациях, 901 - в общеобразовательных организациях) и 95 - сотрудников дополнительного образования детей. Из них: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- 247  сотрудника сделали прививку (13 %);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- 112 сотрудников имеют медицинское противопоказание от вакцинации (6 %);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- 434 сотрудников отказались от прививки (23%);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- 265 сотрудников официально переболели коронавирусной инфекцией (14%);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- 835 сотрудников планируют записаться на вакцинацию (44%).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Большая работа проводится в период подготовки к летней оздоровительной кампании 2021 года. Так в организациях отдыха планируется к работе 266 сотрудников,  которые </w:t>
      </w:r>
      <w:r>
        <w:rPr>
          <w:rFonts w:cs="Times New Roman" w:ascii="Times New Roman" w:hAnsi="Times New Roman"/>
          <w:sz w:val="26"/>
          <w:szCs w:val="26"/>
        </w:rPr>
        <w:t>являются штатными сотрудниками образовательных организаций Советского района.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Списки сотрудников, которые будут работать в летних оздоровительных организациях направлены в АУ «Советская районная больница» и в АУ «Пионерская районная больница».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результате на 28 апреля 2021 года привиты первым компонентом  вакцины 54 сотрудника (20,5%) и 32 вторым компонентом (12%). 39 человек переболели (14%). Также 7 сотрудников (3%) имеют медицинские противопоказания от прохождения вакцинации вакциной против коронавирусной инфекции.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На сегодняшний день прививку вакциной против коронавирусной инфекции  сделали 247 сотрудника. (178 сотрудника в АУ «Советская районная больница» (первым компонентом) и 69 сотрудников в АУ «Пионерская районная больница» (первым компонентом)).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подведомственных учреждениях Департамента социального развития администрации Советско района 476 сотрудников, из них 9% переболели ковид-19, привиты — 6%, доля отказов составляет 19%, остальные готовы прививаться, ожидается вакцина и очередность вакцинации.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Отделу по связям с общественностью и населением администрации Советского района (Маковская О.А.), управлению по организации деятельности администрации Советского района (Маяковский В.Я.)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обеспечить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информационную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кампанию:</w:t>
      </w:r>
    </w:p>
    <w:p>
      <w:pPr>
        <w:pStyle w:val="Style33"/>
        <w:widowControl/>
        <w:tabs>
          <w:tab w:val="left" w:pos="1134" w:leader="none"/>
        </w:tabs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Verdana" w:ascii="Times New Roman" w:hAnsi="Times New Roman"/>
          <w:b/>
          <w:bCs w:val="false"/>
          <w:color w:val="00000A"/>
          <w:sz w:val="26"/>
          <w:szCs w:val="26"/>
          <w:u w:val="none"/>
        </w:rPr>
        <w:t>3.1.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О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необходимости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соблюдения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гражданами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противоэпидемических мероприятий,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в том числе в период майских праздников</w:t>
      </w:r>
      <w:r>
        <w:rPr>
          <w:rStyle w:val="21"/>
          <w:rFonts w:eastAsia="Calibri" w:cs="Verdana" w:ascii="Times New Roman" w:hAnsi="Times New Roman"/>
          <w:b/>
          <w:bCs w:val="false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</w:rPr>
        <w:t>(соблюдение масочного режима, социальной дистанции, запрета на массовые мероприятия и т. д.).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6"/>
          <w:szCs w:val="26"/>
          <w:u w:val="none"/>
        </w:rPr>
        <w:t>Срок: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до 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11.05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Calibri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/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6"/>
          <w:szCs w:val="26"/>
          <w:u w:val="none"/>
        </w:rPr>
        <w:t>3.2.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О</w:t>
      </w:r>
      <w:r>
        <w:rPr>
          <w:rStyle w:val="21"/>
          <w:rFonts w:cs="Verdana" w:ascii="Times New Roman" w:hAnsi="Times New Roman"/>
          <w:b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cs="Verdana" w:ascii="Times New Roman" w:hAnsi="Times New Roman"/>
          <w:b w:val="false"/>
          <w:bCs w:val="false"/>
          <w:sz w:val="26"/>
          <w:szCs w:val="26"/>
          <w:u w:val="none"/>
          <w:lang w:val="ru-RU"/>
        </w:rPr>
        <w:t>порядке обследования на</w:t>
      </w:r>
      <w:r>
        <w:rPr>
          <w:rStyle w:val="21"/>
          <w:rFonts w:cs="Verdana" w:ascii="Times New Roman" w:hAnsi="Times New Roman"/>
          <w:b/>
          <w:bCs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cs="Verdana"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Style w:val="21"/>
          <w:rFonts w:cs="Verdana" w:ascii="Times New Roman" w:hAnsi="Times New Roman"/>
          <w:b w:val="false"/>
          <w:bCs w:val="false"/>
          <w:sz w:val="26"/>
          <w:szCs w:val="26"/>
          <w:u w:val="none"/>
          <w:lang w:val="ru-RU"/>
        </w:rPr>
        <w:t>-19</w:t>
      </w:r>
      <w:r>
        <w:rPr>
          <w:rStyle w:val="21"/>
          <w:rFonts w:cs="Verdana" w:ascii="Times New Roman" w:hAnsi="Times New Roman"/>
          <w:b/>
          <w:bCs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cs="Verdana" w:ascii="Times New Roman" w:hAnsi="Times New Roman"/>
          <w:b w:val="false"/>
          <w:bCs w:val="false"/>
          <w:sz w:val="26"/>
          <w:szCs w:val="26"/>
          <w:u w:val="none"/>
          <w:lang w:val="ru-RU"/>
        </w:rPr>
        <w:t>граждан РФ, прибывших из-за границы, мерах административной ответственности.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cs="Verdana" w:ascii="Times New Roman" w:hAnsi="Times New Roman"/>
          <w:b/>
          <w:bCs/>
          <w:sz w:val="26"/>
          <w:szCs w:val="26"/>
          <w:u w:val="none"/>
          <w:lang w:val="ru-RU"/>
        </w:rPr>
        <w:t>Срок:</w:t>
      </w:r>
      <w:r>
        <w:rPr>
          <w:rStyle w:val="21"/>
          <w:rFonts w:cs="Verdana" w:ascii="Times New Roman" w:hAnsi="Times New Roman"/>
          <w:sz w:val="26"/>
          <w:szCs w:val="26"/>
          <w:u w:val="none"/>
          <w:lang w:val="ru-RU"/>
        </w:rPr>
        <w:t xml:space="preserve"> до отмены особого распоряжения.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  <w:u w:val="none"/>
        </w:rPr>
      </w:pPr>
      <w:r>
        <w:rPr/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>4.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АУ ХМАО-Югры «Советская районная больница» (Антонов В.В.), БУ ХМАО-Югры  «Пионерская районная больница» (Берднидцкая М.Е.):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4.1.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 </w:t>
      </w: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П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ровести обследование лиц, привитых вакциной «ЭпиВакКорона», в целях изучение напряженности поствакцинального иммунитета,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в соответствии со следующими требованиями:</w:t>
      </w:r>
    </w:p>
    <w:p>
      <w:pPr>
        <w:pStyle w:val="Style33"/>
        <w:widowControl/>
        <w:numPr>
          <w:ilvl w:val="0"/>
          <w:numId w:val="2"/>
        </w:numPr>
        <w:suppressAutoHyphens w:val="false"/>
        <w:spacing w:lineRule="auto" w:line="240" w:before="0" w:after="160"/>
        <w:ind w:left="993" w:right="0" w:hanging="284"/>
        <w:contextualSpacing/>
        <w:rPr>
          <w:rFonts w:ascii="Times New Roman" w:hAnsi="Times New Roman" w:cs="Verdana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</w:rPr>
        <w:t xml:space="preserve">обследованию подлежат лица, привитые вакциной «ЭпиВакКорона», оформившие информированное согласие; </w:t>
      </w:r>
    </w:p>
    <w:p>
      <w:pPr>
        <w:pStyle w:val="Style33"/>
        <w:widowControl/>
        <w:numPr>
          <w:ilvl w:val="0"/>
          <w:numId w:val="2"/>
        </w:numPr>
        <w:suppressAutoHyphens w:val="false"/>
        <w:spacing w:lineRule="auto" w:line="240" w:before="0" w:after="160"/>
        <w:ind w:left="993" w:right="0" w:hanging="284"/>
        <w:contextualSpacing/>
        <w:rPr>
          <w:rFonts w:ascii="Times New Roman" w:hAnsi="Times New Roman" w:cs="Verdana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</w:rPr>
        <w:t xml:space="preserve">перед вакцинацией гражданин информируется о возможности бесплатной услуги на проведение данных исследований. В бланк информированного согласия вносится  уведомление о дате, времени и месте забора крови;  </w:t>
      </w:r>
    </w:p>
    <w:p>
      <w:pPr>
        <w:pStyle w:val="Style33"/>
        <w:widowControl/>
        <w:numPr>
          <w:ilvl w:val="0"/>
          <w:numId w:val="2"/>
        </w:numPr>
        <w:suppressAutoHyphens w:val="false"/>
        <w:spacing w:lineRule="auto" w:line="240" w:before="0" w:after="160"/>
        <w:ind w:left="993" w:right="0" w:hanging="284"/>
        <w:contextualSpacing/>
        <w:rPr>
          <w:rFonts w:ascii="Times New Roman" w:hAnsi="Times New Roman" w:cs="Verdana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</w:rPr>
        <w:t xml:space="preserve">забор крови для исследований проводится однократно на 42 день после введения первого компонента. Если перерыв между введением 1-го и 2-го компонентов не ровен 21 суткам, то забор крови должен быть проведен на 21 сутки после введения второго компонента; </w:t>
      </w:r>
    </w:p>
    <w:p>
      <w:pPr>
        <w:pStyle w:val="Style33"/>
        <w:widowControl/>
        <w:numPr>
          <w:ilvl w:val="0"/>
          <w:numId w:val="2"/>
        </w:numPr>
        <w:suppressAutoHyphens w:val="false"/>
        <w:spacing w:lineRule="auto" w:line="240" w:before="0" w:after="160"/>
        <w:ind w:left="993" w:right="0" w:hanging="284"/>
        <w:contextualSpacing/>
        <w:rPr>
          <w:rFonts w:ascii="Times New Roman" w:hAnsi="Times New Roman" w:cs="Verdana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</w:rPr>
        <w:t>забор крови проводится в медицинской организации с заполнением направления по предложенной форме (прилагается);</w:t>
      </w:r>
    </w:p>
    <w:p>
      <w:pPr>
        <w:pStyle w:val="Style33"/>
        <w:widowControl/>
        <w:numPr>
          <w:ilvl w:val="0"/>
          <w:numId w:val="2"/>
        </w:numPr>
        <w:tabs>
          <w:tab w:val="left" w:pos="1134" w:leader="none"/>
        </w:tabs>
        <w:suppressAutoHyphens w:val="false"/>
        <w:spacing w:lineRule="auto" w:line="240" w:before="0" w:after="160"/>
        <w:ind w:left="993" w:right="0" w:hanging="284"/>
        <w:contextualSpacing/>
        <w:jc w:val="both"/>
        <w:rPr>
          <w:rFonts w:ascii="Verdana" w:hAnsi="Verdana" w:cs="Verdana"/>
          <w:sz w:val="20"/>
        </w:rPr>
      </w:pP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>сыворотка из медицинских организаций доставляется на лабораторное исследование в ФФБУЗ «ЦГиЭ в ХМАО-Югре в г. Нягани и в Октябрьском районе» (г. Нягань).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bookmarkStart w:id="5" w:name="__DdeLink__440_10048122731"/>
      <w:r>
        <w:rPr>
          <w:rStyle w:val="21"/>
          <w:rFonts w:eastAsia="Times New Roman" w:cs="Verdana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bookmarkStart w:id="6" w:name="__DdeLink__1697_1870821390"/>
      <w:bookmarkEnd w:id="5"/>
      <w:bookmarkEnd w:id="6"/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до 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07.06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Times New Roman" w:cs="Verdana"/>
          <w:b/>
          <w:b/>
          <w:bCs/>
          <w:color w:val="000000"/>
          <w:sz w:val="26"/>
          <w:szCs w:val="26"/>
          <w:u w:val="none"/>
          <w:lang w:val="ru-RU" w:eastAsia="zh-CN"/>
        </w:rPr>
      </w:pPr>
      <w:r>
        <w:rPr/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Verdana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 xml:space="preserve">4.2. 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Активизировать прививочную кампанию против COVID-19, в первую очередь вакцинировать «группу риска» лиц старше 65 лет.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Verdana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на период режима повышенной готовности.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</w:rPr>
        <w:t>5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Управлению образования администрации Советского района (Богданова И.А.):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5.1.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П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редоставить информацию о сотрудниках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подведомственных учреждений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, отказавшихся от вакцинации против коронавирусной инфекции в структуре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обслуживающего персонала и персонала оказывающего услуги населению.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до 11.05.2021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/>
          <w:sz w:val="26"/>
          <w:szCs w:val="26"/>
          <w:highlight w:val="white"/>
          <w:u w:val="none"/>
        </w:rPr>
      </w:pPr>
      <w:r>
        <w:rPr/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5.2.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Активизировать работу по организации вакцинации сотрудников, задействованных в проведении летней оздоровительной кампании.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до 20.05.2021 года.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6.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Департаменту социального развития администрации Советского района (Малышева О.П.)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п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редоставить информацию о сотрудниках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подведомственных учреждений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, отказавшихся от вакцинации против коронавирусной инфекции в структуре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обслуживающего персонала и персонала, оказывающего услуги населению.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до 11.05.2021 года.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/>
          <w:sz w:val="26"/>
          <w:szCs w:val="26"/>
          <w:highlight w:val="white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7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. Заместителю главы Советского района по социальному развитию (Носкова Л.И.)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b w:val="false"/>
          <w:bCs w:val="false"/>
          <w:sz w:val="26"/>
          <w:szCs w:val="26"/>
          <w:highlight w:val="white"/>
          <w:u w:val="none"/>
        </w:rPr>
        <w:t>р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ассмотреть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вариант альтернативного решения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проведения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вечернего концерта 9 мая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, с целью избежания массового скопления людей.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до 07.05.2021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/>
          <w:b/>
          <w:b/>
          <w:bCs/>
          <w:sz w:val="26"/>
          <w:szCs w:val="26"/>
          <w:highlight w:val="white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8.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Заместителю главы Советского района (Буренков Е.И.) р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ассмотреть возможность о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рганиз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ации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онлайн трансляци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и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военно-исторической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реконструкции и проинформировать 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население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о возможности п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росмотра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мероприяти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я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в онлайн режиме.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до 08.05.2021 года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Г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лав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 Советского района                                                                             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И.А. Набатов</w:t>
      </w:r>
    </w:p>
    <w:sectPr>
      <w:headerReference w:type="default" r:id="rId5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367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numPr>
        <w:ilvl w:val="0"/>
        <w:numId w:val="0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numPr>
        <w:ilvl w:val="0"/>
        <w:numId w:val="0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>
    <w:name w:val="iceouttxt"/>
    <w:basedOn w:val="DefaultParagraphFont"/>
    <w:qFormat/>
    <w:rPr/>
  </w:style>
  <w:style w:type="character" w:styleId="W">
    <w:name w:val="w"/>
    <w:basedOn w:val="DefaultParagraphFont"/>
    <w:qFormat/>
    <w:rPr/>
  </w:style>
  <w:style w:type="character" w:styleId="Style15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>
    <w:name w:val="WW8Num4z4"/>
    <w:qFormat/>
    <w:rPr/>
  </w:style>
  <w:style w:type="character" w:styleId="Rvts0">
    <w:name w:val="rvts0"/>
    <w:basedOn w:val="DefaultParagraphFont"/>
    <w:qFormat/>
    <w:rPr/>
  </w:style>
  <w:style w:type="character" w:styleId="Voteanswercounter">
    <w:name w:val="vote-answer-counter"/>
    <w:basedOn w:val="DefaultParagraphFont"/>
    <w:qFormat/>
    <w:rPr/>
  </w:style>
  <w:style w:type="character" w:styleId="Tooltip">
    <w:name w:val="tooltip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>
    <w:name w:val="ListLabel 13"/>
    <w:qFormat/>
    <w:rPr>
      <w:b/>
      <w:bCs/>
      <w:i w:val="false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>
    <w:name w:val="ListLabel 21"/>
    <w:qFormat/>
    <w:rPr>
      <w:b w:val="false"/>
      <w:bCs/>
      <w:i w:val="false"/>
      <w:sz w:val="24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Times New Roman"/>
      <w:b w:val="false"/>
      <w:i w:val="false"/>
      <w:color w:val="00000A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b w:val="false"/>
      <w:i w:val="false"/>
    </w:rPr>
  </w:style>
  <w:style w:type="character" w:styleId="ListLabel73">
    <w:name w:val="ListLabel 73"/>
    <w:qFormat/>
    <w:rPr>
      <w:b w:val="false"/>
      <w:i w:val="false"/>
    </w:rPr>
  </w:style>
  <w:style w:type="character" w:styleId="ListLabel74">
    <w:name w:val="ListLabel 74"/>
    <w:qFormat/>
    <w:rPr>
      <w:b w:val="false"/>
      <w:i w:val="false"/>
    </w:rPr>
  </w:style>
  <w:style w:type="character" w:styleId="ListLabel75">
    <w:name w:val="ListLabel 75"/>
    <w:qFormat/>
    <w:rPr>
      <w:b w:val="false"/>
      <w:i w:val="false"/>
    </w:rPr>
  </w:style>
  <w:style w:type="character" w:styleId="ListLabel76">
    <w:name w:val="ListLabel 76"/>
    <w:qFormat/>
    <w:rPr>
      <w:b w:val="false"/>
      <w:i w:val="false"/>
    </w:rPr>
  </w:style>
  <w:style w:type="character" w:styleId="ListLabel77">
    <w:name w:val="ListLabel 77"/>
    <w:qFormat/>
    <w:rPr>
      <w:b w:val="false"/>
      <w:i w:val="false"/>
    </w:rPr>
  </w:style>
  <w:style w:type="character" w:styleId="ListLabel78">
    <w:name w:val="ListLabel 78"/>
    <w:qFormat/>
    <w:rPr>
      <w:b w:val="false"/>
      <w:i w:val="false"/>
    </w:rPr>
  </w:style>
  <w:style w:type="character" w:styleId="ListLabel79">
    <w:name w:val="ListLabel 79"/>
    <w:qFormat/>
    <w:rPr>
      <w:b w:val="false"/>
      <w:i w:val="false"/>
    </w:rPr>
  </w:style>
  <w:style w:type="character" w:styleId="ListLabel80">
    <w:name w:val="ListLabel 80"/>
    <w:qFormat/>
    <w:rPr>
      <w:b w:val="false"/>
      <w:i w:val="false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/>
  </w:style>
  <w:style w:type="character" w:styleId="ListLabel85">
    <w:name w:val="ListLabel 85"/>
    <w:qFormat/>
    <w:rPr>
      <w:b w:val="false"/>
      <w:i w:val="false"/>
    </w:rPr>
  </w:style>
  <w:style w:type="character" w:styleId="ListLabel86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>
    <w:name w:val="ListLabel 88"/>
    <w:qFormat/>
    <w:rPr>
      <w:b w:val="false"/>
      <w:i w:val="false"/>
    </w:rPr>
  </w:style>
  <w:style w:type="character" w:styleId="ListLabel89">
    <w:name w:val="ListLabel 89"/>
    <w:qFormat/>
    <w:rPr>
      <w:b w:val="false"/>
      <w:i w:val="false"/>
    </w:rPr>
  </w:style>
  <w:style w:type="character" w:styleId="ListLabel90">
    <w:name w:val="ListLabel 90"/>
    <w:qFormat/>
    <w:rPr>
      <w:b w:val="false"/>
      <w:i w:val="false"/>
    </w:rPr>
  </w:style>
  <w:style w:type="character" w:styleId="ListLabel91">
    <w:name w:val="ListLabel 91"/>
    <w:qFormat/>
    <w:rPr>
      <w:b w:val="false"/>
      <w:i w:val="false"/>
    </w:rPr>
  </w:style>
  <w:style w:type="character" w:styleId="ListLabel92">
    <w:name w:val="ListLabel 92"/>
    <w:qFormat/>
    <w:rPr>
      <w:b w:val="false"/>
      <w:i w:val="false"/>
    </w:rPr>
  </w:style>
  <w:style w:type="character" w:styleId="ListLabel93">
    <w:name w:val="ListLabel 93"/>
    <w:qFormat/>
    <w:rPr>
      <w:b w:val="false"/>
      <w:i w:val="false"/>
    </w:rPr>
  </w:style>
  <w:style w:type="character" w:styleId="ListLabel94">
    <w:name w:val="ListLabel 94"/>
    <w:qFormat/>
    <w:rPr>
      <w:b w:val="false"/>
      <w:i w:val="false"/>
    </w:rPr>
  </w:style>
  <w:style w:type="character" w:styleId="11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>
    <w:name w:val="itemtext"/>
    <w:basedOn w:val="DefaultParagraphFont"/>
    <w:qFormat/>
    <w:rPr/>
  </w:style>
  <w:style w:type="character" w:styleId="3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>
    <w:name w:val="hl"/>
    <w:basedOn w:val="DefaultParagraphFont"/>
    <w:qFormat/>
    <w:rPr/>
  </w:style>
  <w:style w:type="character" w:styleId="Blk">
    <w:name w:val="blk"/>
    <w:basedOn w:val="DefaultParagraphFont"/>
    <w:qFormat/>
    <w:rPr/>
  </w:style>
  <w:style w:type="character" w:styleId="12">
    <w:name w:val="Верхний колонтитул Знак1"/>
    <w:basedOn w:val="DefaultParagraphFont"/>
    <w:qFormat/>
    <w:rPr/>
  </w:style>
  <w:style w:type="character" w:styleId="13">
    <w:name w:val="Нижний колонтитул Знак1"/>
    <w:basedOn w:val="DefaultParagraphFont"/>
    <w:qFormat/>
    <w:rPr/>
  </w:style>
  <w:style w:type="character" w:styleId="Style18">
    <w:name w:val="Цветовое выделение для Текст"/>
    <w:qFormat/>
    <w:rPr>
      <w:sz w:val="24"/>
    </w:rPr>
  </w:style>
  <w:style w:type="character" w:styleId="Extendedtextshort">
    <w:name w:val="extended-text__short"/>
    <w:basedOn w:val="DefaultParagraphFont"/>
    <w:qFormat/>
    <w:rPr/>
  </w:style>
  <w:style w:type="character" w:styleId="Style19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>
    <w:name w:val="Основной текст 3 Знак"/>
    <w:basedOn w:val="DefaultParagraphFont"/>
    <w:qFormat/>
    <w:rPr>
      <w:sz w:val="16"/>
      <w:szCs w:val="16"/>
    </w:rPr>
  </w:style>
  <w:style w:type="character" w:styleId="23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b/>
      <w:i w:val="false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b/>
      <w:i/>
      <w:color w:val="000000"/>
    </w:rPr>
  </w:style>
  <w:style w:type="character" w:styleId="ListLabel124">
    <w:name w:val="ListLabel 124"/>
    <w:qFormat/>
    <w:rPr>
      <w:b/>
      <w:i/>
    </w:rPr>
  </w:style>
  <w:style w:type="character" w:styleId="ListLabel125">
    <w:name w:val="ListLabel 125"/>
    <w:qFormat/>
    <w:rPr>
      <w:rFonts w:eastAsia="Arial Unicode MS" w:cs="Tahoma"/>
      <w:b w:val="false"/>
      <w:i w:val="false"/>
    </w:rPr>
  </w:style>
  <w:style w:type="character" w:styleId="ListLabel126">
    <w:name w:val="ListLabel 126"/>
    <w:qFormat/>
    <w:rPr>
      <w:rFonts w:eastAsia="Arial Unicode MS" w:cs="Tahoma"/>
      <w:b w:val="false"/>
      <w:i w:val="false"/>
    </w:rPr>
  </w:style>
  <w:style w:type="character" w:styleId="ListLabel127">
    <w:name w:val="ListLabel 127"/>
    <w:qFormat/>
    <w:rPr>
      <w:rFonts w:eastAsia="Arial Unicode MS" w:cs="Tahoma"/>
      <w:b w:val="false"/>
      <w:i w:val="false"/>
    </w:rPr>
  </w:style>
  <w:style w:type="character" w:styleId="ListLabel128">
    <w:name w:val="ListLabel 128"/>
    <w:qFormat/>
    <w:rPr>
      <w:rFonts w:eastAsia="Arial Unicode MS" w:cs="Tahoma"/>
      <w:b w:val="false"/>
      <w:i w:val="false"/>
    </w:rPr>
  </w:style>
  <w:style w:type="character" w:styleId="ListLabel129">
    <w:name w:val="ListLabel 129"/>
    <w:qFormat/>
    <w:rPr>
      <w:rFonts w:eastAsia="Arial Unicode MS" w:cs="Tahoma"/>
      <w:b w:val="false"/>
      <w:i w:val="false"/>
    </w:rPr>
  </w:style>
  <w:style w:type="character" w:styleId="ListLabel130">
    <w:name w:val="ListLabel 130"/>
    <w:qFormat/>
    <w:rPr>
      <w:rFonts w:eastAsia="Arial Unicode MS" w:cs="Tahoma"/>
      <w:b w:val="false"/>
      <w:i w:val="false"/>
    </w:rPr>
  </w:style>
  <w:style w:type="character" w:styleId="ListLabel131">
    <w:name w:val="ListLabel 131"/>
    <w:qFormat/>
    <w:rPr>
      <w:rFonts w:eastAsia="Arial Unicode MS" w:cs="Tahoma"/>
      <w:b w:val="false"/>
      <w:i w:val="false"/>
    </w:rPr>
  </w:style>
  <w:style w:type="character" w:styleId="ListLabel132">
    <w:name w:val="ListLabel 132"/>
    <w:qFormat/>
    <w:rPr>
      <w:rFonts w:eastAsia="Arial Unicode MS" w:cs="Tahoma"/>
      <w:b w:val="false"/>
      <w:i w:val="false"/>
    </w:rPr>
  </w:style>
  <w:style w:type="character" w:styleId="ListLabel133">
    <w:name w:val="ListLabel 133"/>
    <w:qFormat/>
    <w:rPr>
      <w:rFonts w:eastAsia="Arial Unicode MS" w:cs="Tahoma"/>
      <w:b w:val="false"/>
      <w:i w:val="false"/>
    </w:rPr>
  </w:style>
  <w:style w:type="character" w:styleId="ListLabel134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>
    <w:name w:val="ListLabel 135"/>
    <w:qFormat/>
    <w:rPr>
      <w:b/>
      <w:i/>
    </w:rPr>
  </w:style>
  <w:style w:type="character" w:styleId="ListLabel136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>
    <w:name w:val="ListLabel 137"/>
    <w:qFormat/>
    <w:rPr>
      <w:b/>
      <w:i/>
    </w:rPr>
  </w:style>
  <w:style w:type="character" w:styleId="WW8Num1z0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38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>
    <w:name w:val="Выделение жирным"/>
    <w:qFormat/>
    <w:rPr>
      <w:b/>
      <w:bCs/>
    </w:rPr>
  </w:style>
  <w:style w:type="character" w:styleId="ListLabel15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>
    <w:name w:val="WW8Num2z0"/>
    <w:qFormat/>
    <w:rPr>
      <w:rFonts w:ascii="Symbol" w:hAnsi="Symbol" w:cs="Symbol"/>
      <w:szCs w:val="24"/>
      <w:lang w:val="ru-RU"/>
    </w:rPr>
  </w:style>
  <w:style w:type="character" w:styleId="ListLabel17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>
    <w:name w:val="WW8Num307z0"/>
    <w:qFormat/>
    <w:rPr>
      <w:rFonts w:ascii="Symbol" w:hAnsi="Symbol" w:cs="Symbol"/>
      <w:color w:val="000000"/>
    </w:rPr>
  </w:style>
  <w:style w:type="character" w:styleId="WW8Num307z1">
    <w:name w:val="WW8Num307z1"/>
    <w:qFormat/>
    <w:rPr/>
  </w:style>
  <w:style w:type="character" w:styleId="WW8Num307z2">
    <w:name w:val="WW8Num307z2"/>
    <w:qFormat/>
    <w:rPr/>
  </w:style>
  <w:style w:type="character" w:styleId="WW8Num307z3">
    <w:name w:val="WW8Num307z3"/>
    <w:qFormat/>
    <w:rPr/>
  </w:style>
  <w:style w:type="character" w:styleId="WW8Num307z4">
    <w:name w:val="WW8Num307z4"/>
    <w:qFormat/>
    <w:rPr/>
  </w:style>
  <w:style w:type="character" w:styleId="WW8Num307z5">
    <w:name w:val="WW8Num307z5"/>
    <w:qFormat/>
    <w:rPr/>
  </w:style>
  <w:style w:type="character" w:styleId="WW8Num307z6">
    <w:name w:val="WW8Num307z6"/>
    <w:qFormat/>
    <w:rPr/>
  </w:style>
  <w:style w:type="character" w:styleId="WW8Num307z7">
    <w:name w:val="WW8Num307z7"/>
    <w:qFormat/>
    <w:rPr/>
  </w:style>
  <w:style w:type="character" w:styleId="WW8Num307z8">
    <w:name w:val="WW8Num307z8"/>
    <w:qFormat/>
    <w:rPr/>
  </w:style>
  <w:style w:type="character" w:styleId="ListLabel18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>
    <w:name w:val="ListLabel 182"/>
    <w:qFormat/>
    <w:rPr>
      <w:rFonts w:cs="Symbol"/>
      <w:color w:val="000000"/>
    </w:rPr>
  </w:style>
  <w:style w:type="character" w:styleId="WW8Num84z0">
    <w:name w:val="WW8Num84z0"/>
    <w:qFormat/>
    <w:rPr>
      <w:rFonts w:ascii="Symbol" w:hAnsi="Symbol" w:cs="Symbol"/>
      <w:color w:val="FF0000"/>
    </w:rPr>
  </w:style>
  <w:style w:type="character" w:styleId="WW8Num84z1">
    <w:name w:val="WW8Num84z1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ListLabel183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>
    <w:name w:val="ListLabel 184"/>
    <w:qFormat/>
    <w:rPr>
      <w:rFonts w:cs="Symbol"/>
      <w:color w:val="FF0000"/>
    </w:rPr>
  </w:style>
  <w:style w:type="character" w:styleId="ListLabel185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character" w:styleId="ListLabel19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>
    <w:name w:val="ListLabel 196"/>
    <w:qFormat/>
    <w:rPr>
      <w:rFonts w:cs="OpenSymbol;Arial Unicode MS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>
    <w:name w:val="WW8Num13z0"/>
    <w:qFormat/>
    <w:rPr>
      <w:b/>
      <w:szCs w:val="24"/>
      <w:u w:val="none"/>
      <w:lang w:val="ru-RU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ListLabel236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>
    <w:name w:val="ListLabel 237"/>
    <w:qFormat/>
    <w:rPr>
      <w:b/>
      <w:szCs w:val="24"/>
      <w:u w:val="none"/>
      <w:lang w:val="ru-RU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>
    <w:name w:val="WW8Num14z0"/>
    <w:qFormat/>
    <w:rPr>
      <w:b/>
      <w:u w:val="non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9z0">
    <w:name w:val="WW8Num9z0"/>
    <w:qFormat/>
    <w:rPr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ListLabel242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>
    <w:name w:val="ListLabel 243"/>
    <w:qFormat/>
    <w:rPr>
      <w:b/>
      <w:u w:val="none"/>
    </w:rPr>
  </w:style>
  <w:style w:type="character" w:styleId="ListLabel244">
    <w:name w:val="ListLabel 244"/>
    <w:qFormat/>
    <w:rPr>
      <w:b/>
      <w:sz w:val="24"/>
      <w:szCs w:val="24"/>
    </w:rPr>
  </w:style>
  <w:style w:type="character" w:styleId="ListLabel245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6">
    <w:name w:val="ListLabel 24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7">
    <w:name w:val="ListLabel 24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8">
    <w:name w:val="ListLabel 248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9">
    <w:name w:val="ListLabel 24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50">
    <w:name w:val="ListLabel 250"/>
    <w:qFormat/>
    <w:rPr>
      <w:rFonts w:ascii="Times New Roman" w:hAnsi="Times New Roman"/>
      <w:b/>
      <w:bCs w:val="false"/>
      <w:sz w:val="24"/>
      <w:szCs w:val="24"/>
    </w:rPr>
  </w:style>
  <w:style w:type="character" w:styleId="ListLabel251">
    <w:name w:val="ListLabel 251"/>
    <w:qFormat/>
    <w:rPr>
      <w:rFonts w:ascii="Times New Roman" w:hAnsi="Times New Roman"/>
      <w:b/>
      <w:bCs w:val="false"/>
      <w:sz w:val="24"/>
      <w:szCs w:val="24"/>
    </w:rPr>
  </w:style>
  <w:style w:type="character" w:styleId="ListLabel252">
    <w:name w:val="ListLabel 252"/>
    <w:qFormat/>
    <w:rPr>
      <w:rFonts w:ascii="Times New Roman" w:hAnsi="Times New Roman"/>
      <w:b/>
      <w:bCs w:val="false"/>
      <w:sz w:val="24"/>
      <w:szCs w:val="24"/>
    </w:rPr>
  </w:style>
  <w:style w:type="character" w:styleId="ListLabel253">
    <w:name w:val="ListLabel 253"/>
    <w:qFormat/>
    <w:rPr>
      <w:rFonts w:ascii="Times New Roman" w:hAnsi="Times New Roman"/>
      <w:b/>
      <w:bCs w:val="false"/>
      <w:sz w:val="24"/>
      <w:szCs w:val="24"/>
    </w:rPr>
  </w:style>
  <w:style w:type="character" w:styleId="ListLabel254">
    <w:name w:val="ListLabel 254"/>
    <w:qFormat/>
    <w:rPr>
      <w:rFonts w:ascii="Times New Roman" w:hAnsi="Times New Roman"/>
      <w:b/>
      <w:bCs w:val="false"/>
      <w:sz w:val="24"/>
      <w:szCs w:val="24"/>
    </w:rPr>
  </w:style>
  <w:style w:type="character" w:styleId="ListLabel255">
    <w:name w:val="ListLabel 255"/>
    <w:qFormat/>
    <w:rPr>
      <w:rFonts w:ascii="Times New Roman" w:hAnsi="Times New Roman"/>
      <w:b/>
      <w:bCs w:val="false"/>
      <w:sz w:val="26"/>
      <w:szCs w:val="24"/>
    </w:rPr>
  </w:style>
  <w:style w:type="character" w:styleId="ListLabel256">
    <w:name w:val="ListLabel 256"/>
    <w:qFormat/>
    <w:rPr>
      <w:rFonts w:ascii="Times New Roman" w:hAnsi="Times New Roman"/>
      <w:b/>
      <w:bCs w:val="false"/>
      <w:sz w:val="26"/>
      <w:szCs w:val="24"/>
    </w:rPr>
  </w:style>
  <w:style w:type="character" w:styleId="ListLabel257">
    <w:name w:val="ListLabel 257"/>
    <w:qFormat/>
    <w:rPr>
      <w:rFonts w:ascii="Times New Roman" w:hAnsi="Times New Roman"/>
      <w:b/>
      <w:bCs w:val="false"/>
      <w:sz w:val="26"/>
      <w:szCs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ascii="Times New Roman" w:hAnsi="Times New Roman"/>
      <w:b/>
      <w:bCs w:val="false"/>
      <w:sz w:val="26"/>
      <w:szCs w:val="24"/>
    </w:rPr>
  </w:style>
  <w:style w:type="character" w:styleId="ListLabel262">
    <w:name w:val="ListLabel 262"/>
    <w:qFormat/>
    <w:rPr>
      <w:rFonts w:ascii="Times New Roman" w:hAnsi="Times New Roman"/>
      <w:b/>
      <w:bCs w:val="false"/>
      <w:sz w:val="26"/>
      <w:szCs w:val="24"/>
    </w:rPr>
  </w:style>
  <w:style w:type="character" w:styleId="ListLabel263">
    <w:name w:val="ListLabel 263"/>
    <w:qFormat/>
    <w:rPr>
      <w:rFonts w:ascii="Times New Roman" w:hAnsi="Times New Roman"/>
      <w:b/>
      <w:bCs w:val="false"/>
      <w:sz w:val="26"/>
      <w:szCs w:val="24"/>
    </w:rPr>
  </w:style>
  <w:style w:type="character" w:styleId="ListLabel264">
    <w:name w:val="ListLabel 264"/>
    <w:qFormat/>
    <w:rPr>
      <w:rFonts w:ascii="Times New Roman" w:hAnsi="Times New Roman"/>
      <w:b/>
      <w:bCs w:val="false"/>
      <w:sz w:val="26"/>
      <w:szCs w:val="24"/>
    </w:rPr>
  </w:style>
  <w:style w:type="character" w:styleId="ListLabel265">
    <w:name w:val="ListLabel 265"/>
    <w:qFormat/>
    <w:rPr>
      <w:rFonts w:ascii="Times New Roman" w:hAnsi="Times New Roman"/>
      <w:b/>
      <w:bCs w:val="false"/>
      <w:sz w:val="26"/>
      <w:szCs w:val="24"/>
    </w:rPr>
  </w:style>
  <w:style w:type="character" w:styleId="ListLabel266">
    <w:name w:val="ListLabel 266"/>
    <w:qFormat/>
    <w:rPr>
      <w:rFonts w:ascii="Times New Roman" w:hAnsi="Times New Roman"/>
      <w:b/>
      <w:bCs w:val="false"/>
      <w:sz w:val="26"/>
      <w:szCs w:val="24"/>
    </w:rPr>
  </w:style>
  <w:style w:type="character" w:styleId="ListLabel267">
    <w:name w:val="ListLabel 267"/>
    <w:qFormat/>
    <w:rPr>
      <w:rFonts w:ascii="Times New Roman" w:hAnsi="Times New Roman"/>
      <w:b/>
      <w:bCs w:val="false"/>
      <w:sz w:val="26"/>
      <w:szCs w:val="24"/>
    </w:rPr>
  </w:style>
  <w:style w:type="character" w:styleId="ListLabel268">
    <w:name w:val="ListLabel 268"/>
    <w:qFormat/>
    <w:rPr>
      <w:rFonts w:ascii="Times New Roman" w:hAnsi="Times New Roman"/>
      <w:b/>
      <w:bCs w:val="false"/>
      <w:sz w:val="26"/>
      <w:szCs w:val="24"/>
    </w:rPr>
  </w:style>
  <w:style w:type="character" w:styleId="ListLabel269">
    <w:name w:val="ListLabel 269"/>
    <w:qFormat/>
    <w:rPr>
      <w:rFonts w:ascii="Times New Roman" w:hAnsi="Times New Roman"/>
      <w:b/>
      <w:bCs w:val="false"/>
      <w:sz w:val="26"/>
      <w:szCs w:val="24"/>
    </w:rPr>
  </w:style>
  <w:style w:type="character" w:styleId="ListLabel270">
    <w:name w:val="ListLabel 270"/>
    <w:qFormat/>
    <w:rPr>
      <w:rFonts w:ascii="Times New Roman" w:hAnsi="Times New Roman"/>
      <w:b/>
      <w:bCs w:val="false"/>
      <w:sz w:val="26"/>
      <w:szCs w:val="24"/>
    </w:rPr>
  </w:style>
  <w:style w:type="character" w:styleId="ListLabel271">
    <w:name w:val="ListLabel 271"/>
    <w:qFormat/>
    <w:rPr>
      <w:rFonts w:ascii="Times New Roman" w:hAnsi="Times New Roman"/>
      <w:b/>
      <w:bCs w:val="false"/>
      <w:sz w:val="26"/>
      <w:szCs w:val="24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ListLabel272">
    <w:name w:val="ListLabel 272"/>
    <w:qFormat/>
    <w:rPr>
      <w:rFonts w:ascii="Times New Roman" w:hAnsi="Times New Roman"/>
      <w:b/>
      <w:bCs w:val="false"/>
      <w:sz w:val="26"/>
      <w:szCs w:val="24"/>
    </w:rPr>
  </w:style>
  <w:style w:type="character" w:styleId="ListLabel273">
    <w:name w:val="ListLabel 273"/>
    <w:qFormat/>
    <w:rPr>
      <w:rFonts w:ascii="Times New Roman" w:hAnsi="Times New Roman"/>
      <w:b/>
      <w:bCs w:val="false"/>
      <w:sz w:val="26"/>
      <w:szCs w:val="24"/>
    </w:rPr>
  </w:style>
  <w:style w:type="character" w:styleId="ListLabel274">
    <w:name w:val="ListLabel 274"/>
    <w:qFormat/>
    <w:rPr>
      <w:rFonts w:ascii="Times New Roman" w:hAnsi="Times New Roman"/>
      <w:b/>
      <w:bCs w:val="false"/>
      <w:sz w:val="26"/>
      <w:szCs w:val="24"/>
    </w:rPr>
  </w:style>
  <w:style w:type="character" w:styleId="ListLabel275">
    <w:name w:val="ListLabel 275"/>
    <w:qFormat/>
    <w:rPr>
      <w:rFonts w:ascii="Times New Roman" w:hAnsi="Times New Roman"/>
      <w:b/>
      <w:bCs w:val="false"/>
      <w:sz w:val="26"/>
      <w:szCs w:val="24"/>
    </w:rPr>
  </w:style>
  <w:style w:type="character" w:styleId="ListLabel276">
    <w:name w:val="ListLabel 276"/>
    <w:qFormat/>
    <w:rPr>
      <w:rFonts w:ascii="Times New Roman" w:hAnsi="Times New Roman"/>
      <w:b/>
      <w:bCs w:val="false"/>
      <w:sz w:val="26"/>
      <w:szCs w:val="24"/>
    </w:rPr>
  </w:style>
  <w:style w:type="character" w:styleId="ListLabel277">
    <w:name w:val="ListLabel 277"/>
    <w:qFormat/>
    <w:rPr>
      <w:rFonts w:ascii="Times New Roman" w:hAnsi="Times New Roman"/>
      <w:b/>
      <w:bCs w:val="false"/>
      <w:sz w:val="26"/>
      <w:szCs w:val="24"/>
    </w:rPr>
  </w:style>
  <w:style w:type="character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278">
    <w:name w:val="ListLabel 278"/>
    <w:qFormat/>
    <w:rPr>
      <w:rFonts w:ascii="Times New Roman" w:hAnsi="Times New Roman"/>
      <w:b/>
      <w:bCs w:val="false"/>
      <w:sz w:val="26"/>
      <w:szCs w:val="24"/>
    </w:rPr>
  </w:style>
  <w:style w:type="character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styleId="ListLabel280">
    <w:name w:val="ListLabel 280"/>
    <w:qFormat/>
    <w:rPr>
      <w:rFonts w:ascii="Times New Roman" w:hAnsi="Times New Roman"/>
      <w:b/>
      <w:bCs w:val="false"/>
      <w:sz w:val="26"/>
      <w:szCs w:val="24"/>
    </w:rPr>
  </w:style>
  <w:style w:type="character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character" w:styleId="ListLabel282">
    <w:name w:val="ListLabel 282"/>
    <w:qFormat/>
    <w:rPr>
      <w:rFonts w:ascii="Times New Roman" w:hAnsi="Times New Roman"/>
      <w:b/>
      <w:bCs w:val="false"/>
      <w:sz w:val="26"/>
      <w:szCs w:val="24"/>
    </w:rPr>
  </w:style>
  <w:style w:type="character" w:styleId="ListLabel283">
    <w:name w:val="ListLabel 283"/>
    <w:qFormat/>
    <w:rPr>
      <w:rFonts w:ascii="Times New Roman" w:hAnsi="Times New Roman" w:cs="Symbol"/>
      <w:sz w:val="26"/>
      <w:szCs w:val="20"/>
      <w:lang w:val="ru-RU"/>
    </w:rPr>
  </w:style>
  <w:style w:type="character" w:styleId="ListLabel284">
    <w:name w:val="ListLabel 284"/>
    <w:qFormat/>
    <w:rPr>
      <w:rFonts w:ascii="Times New Roman" w:hAnsi="Times New Roman"/>
      <w:b/>
      <w:bCs w:val="false"/>
      <w:sz w:val="26"/>
      <w:szCs w:val="24"/>
    </w:rPr>
  </w:style>
  <w:style w:type="character" w:styleId="ListLabel285">
    <w:name w:val="ListLabel 285"/>
    <w:qFormat/>
    <w:rPr>
      <w:rFonts w:ascii="Times New Roman" w:hAnsi="Times New Roman" w:cs="Symbol"/>
      <w:sz w:val="26"/>
      <w:szCs w:val="20"/>
      <w:lang w:val="ru-RU"/>
    </w:rPr>
  </w:style>
  <w:style w:type="character" w:styleId="ListLabel286">
    <w:name w:val="ListLabel 286"/>
    <w:qFormat/>
    <w:rPr>
      <w:rFonts w:ascii="Times New Roman" w:hAnsi="Times New Roman"/>
      <w:b/>
      <w:bCs w:val="false"/>
      <w:sz w:val="26"/>
      <w:szCs w:val="24"/>
    </w:rPr>
  </w:style>
  <w:style w:type="character" w:styleId="ListLabel287">
    <w:name w:val="ListLabel 287"/>
    <w:qFormat/>
    <w:rPr>
      <w:rFonts w:ascii="Times New Roman" w:hAnsi="Times New Roman"/>
      <w:b/>
      <w:bCs w:val="false"/>
      <w:sz w:val="26"/>
      <w:szCs w:val="24"/>
    </w:rPr>
  </w:style>
  <w:style w:type="character" w:styleId="ListLabel288">
    <w:name w:val="ListLabel 288"/>
    <w:qFormat/>
    <w:rPr>
      <w:rFonts w:ascii="Times New Roman" w:hAnsi="Times New Roman"/>
      <w:b/>
      <w:bCs w:val="false"/>
      <w:sz w:val="26"/>
      <w:szCs w:val="24"/>
    </w:rPr>
  </w:style>
  <w:style w:type="character" w:styleId="ListLabel289">
    <w:name w:val="ListLabel 289"/>
    <w:qFormat/>
    <w:rPr>
      <w:rFonts w:ascii="Times New Roman" w:hAnsi="Times New Roman"/>
      <w:b/>
      <w:bCs w:val="false"/>
      <w:sz w:val="26"/>
      <w:szCs w:val="24"/>
    </w:rPr>
  </w:style>
  <w:style w:type="character" w:styleId="ListLabel290">
    <w:name w:val="ListLabel 290"/>
    <w:qFormat/>
    <w:rPr>
      <w:rFonts w:ascii="Times New Roman" w:hAnsi="Times New Roman"/>
      <w:b/>
      <w:bCs w:val="false"/>
      <w:sz w:val="26"/>
      <w:szCs w:val="24"/>
    </w:rPr>
  </w:style>
  <w:style w:type="character" w:styleId="ListLabel291">
    <w:name w:val="ListLabel 291"/>
    <w:qFormat/>
    <w:rPr>
      <w:rFonts w:ascii="Times New Roman" w:hAnsi="Times New Roman"/>
      <w:b/>
      <w:bCs w:val="false"/>
      <w:sz w:val="26"/>
      <w:szCs w:val="24"/>
    </w:rPr>
  </w:style>
  <w:style w:type="character" w:styleId="ListLabel292">
    <w:name w:val="ListLabel 292"/>
    <w:qFormat/>
    <w:rPr>
      <w:rFonts w:ascii="Times New Roman" w:hAnsi="Times New Roman"/>
      <w:b/>
      <w:bCs w:val="false"/>
      <w:sz w:val="26"/>
      <w:szCs w:val="24"/>
    </w:rPr>
  </w:style>
  <w:style w:type="character" w:styleId="ListLabel293">
    <w:name w:val="ListLabel 293"/>
    <w:qFormat/>
    <w:rPr>
      <w:rFonts w:ascii="Times New Roman" w:hAnsi="Times New Roman"/>
      <w:b/>
      <w:bCs w:val="false"/>
      <w:sz w:val="26"/>
      <w:szCs w:val="24"/>
    </w:rPr>
  </w:style>
  <w:style w:type="character" w:styleId="ListLabel294">
    <w:name w:val="ListLabel 294"/>
    <w:qFormat/>
    <w:rPr>
      <w:rFonts w:ascii="Times New Roman" w:hAnsi="Times New Roman"/>
      <w:b/>
      <w:bCs w:val="false"/>
      <w:sz w:val="26"/>
      <w:szCs w:val="24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>
    <w:name w:val="Заголовок 11"/>
    <w:basedOn w:val="Normal"/>
    <w:qFormat/>
    <w:pPr>
      <w:keepNext/>
      <w:numPr>
        <w:ilvl w:val="0"/>
        <w:numId w:val="0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16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left="0" w:right="0"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>
    <w:name w:val="ConsPlusDocLis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Абзац списка1"/>
    <w:basedOn w:val="Normal"/>
    <w:qFormat/>
    <w:pPr>
      <w:spacing w:before="0" w:after="200"/>
      <w:ind w:left="720" w:right="0" w:hanging="0"/>
      <w:contextualSpacing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Заголовок статьи"/>
    <w:basedOn w:val="Normal"/>
    <w:qFormat/>
    <w:pPr>
      <w:spacing w:lineRule="auto" w:line="240" w:before="0" w:after="0"/>
      <w:ind w:left="1612" w:right="0" w:hanging="892"/>
      <w:jc w:val="both"/>
    </w:pPr>
    <w:rPr>
      <w:rFonts w:ascii="Arial" w:hAnsi="Arial" w:cs="Arial"/>
      <w:sz w:val="24"/>
      <w:szCs w:val="24"/>
    </w:rPr>
  </w:style>
  <w:style w:type="paragraph" w:styleId="19">
    <w:name w:val="Основной текст1"/>
    <w:basedOn w:val="Normal"/>
    <w:qFormat/>
    <w:pPr>
      <w:widowControl w:val="false"/>
      <w:shd w:fill="FFFFFF" w:val="clear"/>
      <w:spacing w:lineRule="exact" w:line="302" w:before="0" w:after="0"/>
      <w:ind w:left="0" w:right="0" w:firstLine="700"/>
    </w:pPr>
    <w:rPr>
      <w:rFonts w:ascii="Times New Roman" w:hAnsi="Times New Roman" w:eastAsia="Times New Roman"/>
    </w:rPr>
  </w:style>
  <w:style w:type="paragraph" w:styleId="Style27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>
    <w:name w:val="Основной текст2"/>
    <w:basedOn w:val="Normal"/>
    <w:qFormat/>
    <w:pPr>
      <w:widowControl w:val="false"/>
      <w:shd w:fill="FFFFFF" w:val="clear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left="0" w:right="0" w:firstLine="709"/>
      <w:jc w:val="both"/>
    </w:pPr>
    <w:rPr>
      <w:sz w:val="16"/>
      <w:szCs w:val="16"/>
    </w:rPr>
  </w:style>
  <w:style w:type="paragraph" w:styleId="34">
    <w:name w:val="Основной текст (3)"/>
    <w:basedOn w:val="Normal"/>
    <w:qFormat/>
    <w:pPr>
      <w:widowControl w:val="false"/>
      <w:shd w:fill="FFFFFF" w:val="clear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>
    <w:name w:val="Стиль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paragraph" w:styleId="Style32">
    <w:name w:val="Заголовок таблицы"/>
    <w:basedOn w:val="Style27"/>
    <w:qFormat/>
    <w:pPr/>
    <w:rPr/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ef1edeee2edeee9f2e5eaf1f2">
    <w:name w:val="Оceсf1нedоeeвe2нedоeeйe9 тf2еe5кeaсf1тf2"/>
    <w:basedOn w:val="Normal"/>
    <w:qFormat/>
    <w:pPr>
      <w:widowControl w:val="false"/>
      <w:suppressAutoHyphens w:val="false"/>
      <w:autoSpaceDE w:val="false"/>
      <w:spacing w:lineRule="auto" w:line="288" w:before="0" w:after="140"/>
      <w:ind w:left="0" w:right="0" w:hanging="0"/>
      <w:jc w:val="left"/>
    </w:pPr>
    <w:rPr>
      <w:rFonts w:ascii="Liberation Serif;Times New Roman" w:hAnsi="Liberation Serif;Times New Roman" w:eastAsia="Times New Roman" w:cs="Liberation Serif;Times New Roman"/>
      <w:color w:val="000000"/>
      <w:szCs w:val="24"/>
      <w:lang w:val="ru-RU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07">
    <w:name w:val="WW8Num307"/>
    <w:qFormat/>
  </w:style>
  <w:style w:type="numbering" w:styleId="WW8Num84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8">
    <w:name w:val="WW8Num8"/>
    <w:qFormat/>
  </w:style>
  <w:style w:type="numbering" w:styleId="WW8Num14">
    <w:name w:val="WW8Num14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View/0001202104200067?index=0&amp;rangeSize=1" TargetMode="External"/><Relationship Id="rId3" Type="http://schemas.openxmlformats.org/officeDocument/2006/relationships/hyperlink" Target="http://publication.pravo.gov.ru/Document/View/0001202104200067?index=0&amp;rangeSize=1" TargetMode="External"/><Relationship Id="rId4" Type="http://schemas.openxmlformats.org/officeDocument/2006/relationships/hyperlink" Target="http://publication.pravo.gov.ru/Document/View/0001202104200067?index=0&amp;rangeSize=1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LibreOffice/5.1.3.2$Windows_x86 LibreOffice_project/644e4637d1d8544fd9f56425bd6cec110e49301b</Application>
  <Pages>8</Pages>
  <Words>2129</Words>
  <Characters>14978</Characters>
  <CharactersWithSpaces>17038</CharactersWithSpaces>
  <Paragraphs>234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2021-04-30T15:06:47Z</cp:lastPrinted>
  <dcterms:modified xsi:type="dcterms:W3CDTF">2021-05-04T10:32:59Z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